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D35" w:rsidRDefault="00F311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F40D35" w:rsidRDefault="00F3111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постановления Правительства Камчатского края</w:t>
      </w:r>
    </w:p>
    <w:p w:rsidR="00F40D35" w:rsidRDefault="00F3111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приложение к постановлению Правительства Камчатского края от 17.05.2023 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региональной адресной программы Камчатского края «Переселение </w:t>
      </w:r>
      <w:r>
        <w:rPr>
          <w:rFonts w:ascii="Times New Roman" w:hAnsi="Times New Roman" w:cs="Times New Roman"/>
          <w:sz w:val="28"/>
          <w:szCs w:val="28"/>
        </w:rPr>
        <w:t>граждан из аварийного жилищного фонда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территории Камчатского края»</w:t>
      </w:r>
    </w:p>
    <w:p w:rsidR="00F40D35" w:rsidRDefault="00F40D35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D35" w:rsidRDefault="00F31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Настоящий проект постановления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приложение к постановлению Правительства Камчатского края от 17.05.2023 </w:t>
      </w:r>
      <w:r>
        <w:rPr>
          <w:rFonts w:ascii="Times New Roman" w:eastAsia="Times New Roman" w:hAnsi="Times New Roman" w:cs="Times New Roman"/>
          <w:sz w:val="28"/>
          <w:szCs w:val="24"/>
        </w:rPr>
        <w:t>«Об утверждении региональной адресной программы Камчатског</w:t>
      </w:r>
      <w:r>
        <w:rPr>
          <w:rFonts w:ascii="Times New Roman" w:eastAsia="Times New Roman" w:hAnsi="Times New Roman" w:cs="Times New Roman"/>
          <w:sz w:val="28"/>
          <w:szCs w:val="24"/>
        </w:rPr>
        <w:t>о края «Переселение граждан из аварийного жилищного фонда на территории Камчатского края» (далее – Проект постановления</w:t>
      </w:r>
      <w:r>
        <w:rPr>
          <w:rFonts w:ascii="Times New Roman" w:eastAsia="Times New Roman" w:hAnsi="Times New Roman" w:cs="Times New Roman"/>
          <w:sz w:val="28"/>
          <w:szCs w:val="24"/>
        </w:rPr>
        <w:t>, Программа</w:t>
      </w:r>
      <w:r>
        <w:rPr>
          <w:rFonts w:ascii="Times New Roman" w:eastAsia="Times New Roman" w:hAnsi="Times New Roman" w:cs="Times New Roman"/>
          <w:sz w:val="28"/>
          <w:szCs w:val="24"/>
        </w:rPr>
        <w:t>) разработан в целях</w:t>
      </w:r>
      <w:r>
        <w:rPr>
          <w:rFonts w:ascii="Times New Roman" w:eastAsia="Times New Roman" w:hAnsi="Times New Roman" w:cs="Times New Roman"/>
          <w:sz w:val="28"/>
          <w:szCs w:val="24"/>
        </w:rPr>
        <w:t>:</w:t>
      </w:r>
    </w:p>
    <w:p w:rsidR="00F40D35" w:rsidRDefault="00F31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привлечения средств публично – правовой компании «Фонд развития территорий» (далее – Фонд) на реализ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ацию в</w:t>
      </w:r>
      <w:r w:rsidRPr="00061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и 2024 </w:t>
      </w:r>
      <w:r w:rsidRPr="00061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мероприятий, направленных на расселение многоквартирных аварийных жилых домов, расположенных на территории Камчатского края, признанных в установленном порядке аварийными и подлежащими сносу в связи с физическим износом в процессе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эксплуатации, в период с 01.01.2017 по 01.01.2022;</w:t>
      </w:r>
    </w:p>
    <w:p w:rsidR="00F40D35" w:rsidRPr="00061652" w:rsidRDefault="00F31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06165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уточнени</w:t>
      </w:r>
      <w:r w:rsidR="0006165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61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1652" w:rsidRPr="000616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</w:t>
      </w:r>
      <w:r w:rsidR="00061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и </w:t>
      </w:r>
      <w:r w:rsidRPr="000616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 Программы.</w:t>
      </w:r>
    </w:p>
    <w:p w:rsidR="00F40D35" w:rsidRPr="00061652" w:rsidRDefault="00F31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привлечения средств Фонда в объеме 348 198 926,12 рублей, не востребованных </w:t>
      </w:r>
      <w:r w:rsidR="000616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061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</w:t>
      </w:r>
      <w:r w:rsidR="00061652">
        <w:rPr>
          <w:rFonts w:ascii="Times New Roman" w:eastAsia="Times New Roman" w:hAnsi="Times New Roman" w:cs="Times New Roman"/>
          <w:sz w:val="28"/>
          <w:szCs w:val="28"/>
          <w:lang w:eastAsia="ru-RU"/>
        </w:rPr>
        <w:t>ю мероприятий региональной</w:t>
      </w:r>
      <w:r w:rsidRPr="00061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адресной программы по</w:t>
      </w:r>
      <w:r w:rsidRPr="00061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переселению граждан из многоквартирных жилых домов, признанных аварийными до 1 января 2017 года, </w:t>
      </w:r>
      <w:r w:rsidR="00061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условно </w:t>
      </w:r>
      <w:r w:rsidRPr="00061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завершенной Камчатским краем в 2022 году, Проектом постановления добавлен в Программу дополнительный этап 2023 (2) года.   </w:t>
      </w:r>
    </w:p>
    <w:p w:rsidR="00F40D35" w:rsidRDefault="00F31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В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связи с включением дополнительного этапа и уточнением показателей Программы по результатам внесения изменений в реестр</w:t>
      </w:r>
      <w:r w:rsidR="00CC4C3B">
        <w:rPr>
          <w:rFonts w:ascii="Times New Roman" w:eastAsia="Times New Roman" w:hAnsi="Times New Roman" w:cs="Times New Roman"/>
          <w:sz w:val="28"/>
          <w:szCs w:val="24"/>
        </w:rPr>
        <w:t xml:space="preserve"> аварийных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домов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размещенный в информационной автоматизированной системе </w:t>
      </w:r>
      <w:r>
        <w:rPr>
          <w:rFonts w:ascii="Times New Roman" w:eastAsia="Times New Roman" w:hAnsi="Times New Roman" w:cs="Times New Roman"/>
          <w:sz w:val="28"/>
          <w:szCs w:val="24"/>
        </w:rPr>
        <w:t>АИС «Рефор</w:t>
      </w:r>
      <w:r>
        <w:rPr>
          <w:rFonts w:ascii="Times New Roman" w:eastAsia="Times New Roman" w:hAnsi="Times New Roman" w:cs="Times New Roman"/>
          <w:sz w:val="28"/>
          <w:szCs w:val="24"/>
        </w:rPr>
        <w:t>ма ЖКХ», по тексту и таблицы внесены со</w:t>
      </w:r>
      <w:r>
        <w:rPr>
          <w:rFonts w:ascii="Times New Roman" w:eastAsia="Times New Roman" w:hAnsi="Times New Roman" w:cs="Times New Roman"/>
          <w:sz w:val="28"/>
          <w:szCs w:val="24"/>
        </w:rPr>
        <w:t>ответствующие изменения и дополнения.</w:t>
      </w:r>
    </w:p>
    <w:p w:rsidR="00F40D35" w:rsidRDefault="00F31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Таблицы подготовлены в соответствии с Методическими рекомендациями по формированию субъектами РФ региональных адресных программ по переселению граждан из аварийного жилищного фонда, утвержденными Министерством строител</w:t>
      </w:r>
      <w:r>
        <w:rPr>
          <w:rFonts w:ascii="Times New Roman" w:eastAsia="Times New Roman" w:hAnsi="Times New Roman" w:cs="Times New Roman"/>
          <w:sz w:val="28"/>
          <w:szCs w:val="24"/>
        </w:rPr>
        <w:t>ьства и жилищно-коммунального хозяйства Российской Федерации от 11.11.2021 № 817/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пр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>, сформированы в информационной системе АИС «Реформа ЖКХ» и переформатированию не подлежат.</w:t>
      </w:r>
    </w:p>
    <w:p w:rsidR="00F40D35" w:rsidRDefault="00F31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Проектом Постановления также уточнен порядок оплаты дополнительных квадратных мет</w:t>
      </w:r>
      <w:r>
        <w:rPr>
          <w:rFonts w:ascii="Times New Roman" w:eastAsia="Times New Roman" w:hAnsi="Times New Roman" w:cs="Times New Roman"/>
          <w:sz w:val="28"/>
          <w:szCs w:val="24"/>
        </w:rPr>
        <w:t>ров общей площади при приобретении/строительстве жилых помещений.</w:t>
      </w:r>
    </w:p>
    <w:p w:rsidR="00F40D35" w:rsidRDefault="00F31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Проект постановления позвол</w:t>
      </w:r>
      <w:r>
        <w:rPr>
          <w:rFonts w:ascii="Times New Roman" w:eastAsia="Times New Roman" w:hAnsi="Times New Roman" w:cs="Times New Roman"/>
          <w:sz w:val="28"/>
          <w:szCs w:val="24"/>
        </w:rPr>
        <w:t>ит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привлечь дополнительные средства Фонда на реализацию в 2023-2024 годах мероприятий по расселению аварийного жилищного фонда, подготовить заявку на предоставлени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е Камчатскому краю финансовой поддержки за счет </w:t>
      </w:r>
      <w:r>
        <w:rPr>
          <w:rFonts w:ascii="Times New Roman" w:eastAsia="Times New Roman" w:hAnsi="Times New Roman" w:cs="Times New Roman"/>
          <w:sz w:val="28"/>
          <w:szCs w:val="24"/>
        </w:rPr>
        <w:t>средств Фонда.</w:t>
      </w:r>
    </w:p>
    <w:p w:rsidR="00F40D35" w:rsidRDefault="00F31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Для реализации настоящего проекта постановления не потребуются дополнительные средства краевого бюджета в текущем финансовом году. </w:t>
      </w:r>
    </w:p>
    <w:p w:rsidR="00F40D35" w:rsidRDefault="00F31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Проект постановления не подлежит оценке рег</w:t>
      </w:r>
      <w:r>
        <w:rPr>
          <w:rFonts w:ascii="Times New Roman" w:eastAsia="Times New Roman" w:hAnsi="Times New Roman" w:cs="Times New Roman"/>
          <w:sz w:val="28"/>
          <w:szCs w:val="24"/>
        </w:rPr>
        <w:t>улирующего воздействия в соответствии с постановлением Правительства Камчатского края от 28.09.2022 № 510-П «Об утверждении порядка проведения процедуры оценки регулирующего воздействия проектов нормативных правовых актов Камчатского края и порядка проведе</w:t>
      </w:r>
      <w:r>
        <w:rPr>
          <w:rFonts w:ascii="Times New Roman" w:eastAsia="Times New Roman" w:hAnsi="Times New Roman" w:cs="Times New Roman"/>
          <w:sz w:val="28"/>
          <w:szCs w:val="24"/>
        </w:rPr>
        <w:t>ния экспертизы нормативных правовых актов Камчатского края».</w:t>
      </w:r>
    </w:p>
    <w:p w:rsidR="00F40D35" w:rsidRDefault="00F311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bCs/>
          <w:sz w:val="28"/>
          <w:szCs w:val="28"/>
        </w:rPr>
        <w:t>Положением о порядке проведения антикоррупционной экспертизы изданных исполнительными органами Камчатского края нормативных правовых актов Камчатского края и их проектов</w:t>
      </w:r>
      <w:r>
        <w:rPr>
          <w:rFonts w:ascii="Times New Roman" w:hAnsi="Times New Roman" w:cs="Times New Roman"/>
          <w:sz w:val="28"/>
          <w:szCs w:val="28"/>
        </w:rPr>
        <w:t>, утверж</w:t>
      </w:r>
      <w:r>
        <w:rPr>
          <w:rFonts w:ascii="Times New Roman" w:hAnsi="Times New Roman" w:cs="Times New Roman"/>
          <w:sz w:val="28"/>
          <w:szCs w:val="28"/>
        </w:rPr>
        <w:t xml:space="preserve">денного 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Камчатского края от 21.07.2022 № 386-П, </w:t>
      </w:r>
      <w:bookmarkEnd w:id="0"/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астоящий проект постановления Правительства Камчатского края 05.05.2023 размещен на Едином портале проведения независимой антикоррупционной экспертизы и общественного обсуждения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проектов нормативных правовых актов Камчатского края в сети «Интернет» (https://npaproject.kamgov.ru) для обеспечения возможности проведения в срок до </w:t>
      </w:r>
      <w:r>
        <w:rPr>
          <w:rFonts w:ascii="Times New Roman" w:eastAsia="Times New Roman" w:hAnsi="Times New Roman" w:cs="Times New Roman"/>
          <w:sz w:val="28"/>
          <w:szCs w:val="24"/>
        </w:rPr>
        <w:t>04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  <w:r>
        <w:rPr>
          <w:rFonts w:ascii="Times New Roman" w:eastAsia="Times New Roman" w:hAnsi="Times New Roman" w:cs="Times New Roman"/>
          <w:sz w:val="28"/>
          <w:szCs w:val="24"/>
        </w:rPr>
        <w:t>1</w:t>
      </w:r>
      <w:r>
        <w:rPr>
          <w:rFonts w:ascii="Times New Roman" w:eastAsia="Times New Roman" w:hAnsi="Times New Roman" w:cs="Times New Roman"/>
          <w:sz w:val="28"/>
          <w:szCs w:val="24"/>
        </w:rPr>
        <w:t>0.2023 независимой антикоррупционной экспертизы.</w:t>
      </w:r>
    </w:p>
    <w:sectPr w:rsidR="00F40D35">
      <w:headerReference w:type="default" r:id="rId6"/>
      <w:headerReference w:type="first" r:id="rId7"/>
      <w:pgSz w:w="11906" w:h="16838"/>
      <w:pgMar w:top="1134" w:right="851" w:bottom="1134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119" w:rsidRDefault="00F31119">
      <w:pPr>
        <w:spacing w:line="240" w:lineRule="auto"/>
      </w:pPr>
      <w:r>
        <w:separator/>
      </w:r>
    </w:p>
  </w:endnote>
  <w:endnote w:type="continuationSeparator" w:id="0">
    <w:p w:rsidR="00F31119" w:rsidRDefault="00F311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119" w:rsidRDefault="00F31119">
      <w:pPr>
        <w:spacing w:after="0"/>
      </w:pPr>
      <w:r>
        <w:separator/>
      </w:r>
    </w:p>
  </w:footnote>
  <w:footnote w:type="continuationSeparator" w:id="0">
    <w:p w:rsidR="00F31119" w:rsidRDefault="00F311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9422839"/>
    </w:sdtPr>
    <w:sdtEndPr>
      <w:rPr>
        <w:rFonts w:ascii="Times New Roman" w:hAnsi="Times New Roman" w:cs="Times New Roman"/>
        <w:sz w:val="28"/>
      </w:rPr>
    </w:sdtEndPr>
    <w:sdtContent>
      <w:p w:rsidR="00F40D35" w:rsidRDefault="00F31119">
        <w:pPr>
          <w:pStyle w:val="ad"/>
          <w:jc w:val="center"/>
          <w:rPr>
            <w:rFonts w:ascii="Times New Roman" w:hAnsi="Times New Roman" w:cs="Times New Roman"/>
            <w:sz w:val="28"/>
          </w:rPr>
        </w:pPr>
        <w:r>
          <w:rPr>
            <w:rFonts w:ascii="Times New Roman" w:hAnsi="Times New Roman" w:cs="Times New Roman"/>
            <w:sz w:val="28"/>
          </w:rPr>
          <w:fldChar w:fldCharType="begin"/>
        </w:r>
        <w:r>
          <w:rPr>
            <w:rFonts w:ascii="Times New Roman" w:hAnsi="Times New Roman" w:cs="Times New Roman"/>
            <w:sz w:val="28"/>
          </w:rPr>
          <w:instrText>PAGE   \* MERGEFORMAT</w:instrText>
        </w:r>
        <w:r>
          <w:rPr>
            <w:rFonts w:ascii="Times New Roman" w:hAnsi="Times New Roman" w:cs="Times New Roman"/>
            <w:sz w:val="28"/>
          </w:rPr>
          <w:fldChar w:fldCharType="separate"/>
        </w:r>
        <w:r w:rsidR="00CC4C3B">
          <w:rPr>
            <w:rFonts w:ascii="Times New Roman" w:hAnsi="Times New Roman" w:cs="Times New Roman"/>
            <w:noProof/>
            <w:sz w:val="28"/>
          </w:rPr>
          <w:t>2</w:t>
        </w:r>
        <w:r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F40D35" w:rsidRDefault="00F40D35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D35" w:rsidRDefault="00F40D35">
    <w:pPr>
      <w:pStyle w:val="ad"/>
      <w:jc w:val="center"/>
      <w:rPr>
        <w:sz w:val="20"/>
      </w:rPr>
    </w:pPr>
  </w:p>
  <w:p w:rsidR="00F40D35" w:rsidRDefault="00F40D35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308"/>
    <w:rsid w:val="00040AD1"/>
    <w:rsid w:val="00061652"/>
    <w:rsid w:val="00131823"/>
    <w:rsid w:val="0019719D"/>
    <w:rsid w:val="00422F55"/>
    <w:rsid w:val="00440DF9"/>
    <w:rsid w:val="00442495"/>
    <w:rsid w:val="004931AA"/>
    <w:rsid w:val="005E2D67"/>
    <w:rsid w:val="006D6152"/>
    <w:rsid w:val="006E2B97"/>
    <w:rsid w:val="007568BD"/>
    <w:rsid w:val="00784D6F"/>
    <w:rsid w:val="00887A6D"/>
    <w:rsid w:val="009E5681"/>
    <w:rsid w:val="00A11525"/>
    <w:rsid w:val="00B21597"/>
    <w:rsid w:val="00BF6308"/>
    <w:rsid w:val="00CC4C3B"/>
    <w:rsid w:val="00D324B7"/>
    <w:rsid w:val="00E3358E"/>
    <w:rsid w:val="00F31119"/>
    <w:rsid w:val="00F40D35"/>
    <w:rsid w:val="00F53A4D"/>
    <w:rsid w:val="00F8193F"/>
    <w:rsid w:val="2CEC0F72"/>
    <w:rsid w:val="4E93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19A54"/>
  <w15:docId w15:val="{699D8088-B60B-4821-B2D5-E09B3355E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qFormat/>
    <w:rPr>
      <w:vertAlign w:val="superscript"/>
    </w:rPr>
  </w:style>
  <w:style w:type="character" w:styleId="a4">
    <w:name w:val="endnote reference"/>
    <w:basedOn w:val="a0"/>
    <w:uiPriority w:val="99"/>
    <w:semiHidden/>
    <w:unhideWhenUsed/>
    <w:qFormat/>
    <w:rPr>
      <w:vertAlign w:val="superscript"/>
    </w:rPr>
  </w:style>
  <w:style w:type="character" w:styleId="a5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8">
    <w:name w:val="endnote text"/>
    <w:basedOn w:val="a"/>
    <w:link w:val="a9"/>
    <w:uiPriority w:val="99"/>
    <w:semiHidden/>
    <w:unhideWhenUsed/>
    <w:qFormat/>
    <w:pPr>
      <w:spacing w:after="0" w:line="240" w:lineRule="auto"/>
    </w:pPr>
    <w:rPr>
      <w:sz w:val="20"/>
    </w:rPr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qFormat/>
    <w:pPr>
      <w:spacing w:after="40" w:line="240" w:lineRule="auto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d">
    <w:name w:val="header"/>
    <w:basedOn w:val="a"/>
    <w:link w:val="ae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11">
    <w:name w:val="toc 1"/>
    <w:basedOn w:val="a"/>
    <w:next w:val="a"/>
    <w:uiPriority w:val="39"/>
    <w:unhideWhenUsed/>
    <w:qFormat/>
    <w:pPr>
      <w:spacing w:after="57"/>
    </w:pPr>
  </w:style>
  <w:style w:type="paragraph" w:styleId="61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f">
    <w:name w:val="table of figures"/>
    <w:basedOn w:val="a"/>
    <w:next w:val="a"/>
    <w:uiPriority w:val="99"/>
    <w:unhideWhenUsed/>
    <w:qFormat/>
    <w:pPr>
      <w:spacing w:after="0"/>
    </w:pPr>
  </w:style>
  <w:style w:type="paragraph" w:styleId="31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af0">
    <w:name w:val="Title"/>
    <w:basedOn w:val="a"/>
    <w:next w:val="a"/>
    <w:link w:val="af1"/>
    <w:uiPriority w:val="10"/>
    <w:qFormat/>
    <w:pPr>
      <w:spacing w:before="300"/>
      <w:contextualSpacing/>
    </w:pPr>
    <w:rPr>
      <w:sz w:val="48"/>
      <w:szCs w:val="48"/>
    </w:rPr>
  </w:style>
  <w:style w:type="paragraph" w:styleId="af2">
    <w:name w:val="footer"/>
    <w:basedOn w:val="a"/>
    <w:link w:val="af3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Subtitle"/>
    <w:basedOn w:val="a"/>
    <w:next w:val="a"/>
    <w:link w:val="af5"/>
    <w:uiPriority w:val="11"/>
    <w:qFormat/>
    <w:pPr>
      <w:spacing w:before="200"/>
    </w:pPr>
    <w:rPr>
      <w:sz w:val="24"/>
      <w:szCs w:val="24"/>
    </w:rPr>
  </w:style>
  <w:style w:type="table" w:styleId="af6">
    <w:name w:val="Table Grid"/>
    <w:basedOn w:val="a1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af7">
    <w:name w:val="No Spacing"/>
    <w:uiPriority w:val="1"/>
    <w:qFormat/>
    <w:rPr>
      <w:sz w:val="22"/>
      <w:szCs w:val="22"/>
      <w:lang w:eastAsia="en-US"/>
    </w:rPr>
  </w:style>
  <w:style w:type="character" w:customStyle="1" w:styleId="af1">
    <w:name w:val="Заголовок Знак"/>
    <w:basedOn w:val="a0"/>
    <w:link w:val="af0"/>
    <w:uiPriority w:val="10"/>
    <w:qFormat/>
    <w:rPr>
      <w:sz w:val="48"/>
      <w:szCs w:val="48"/>
    </w:rPr>
  </w:style>
  <w:style w:type="character" w:customStyle="1" w:styleId="af5">
    <w:name w:val="Подзаголовок Знак"/>
    <w:basedOn w:val="a0"/>
    <w:link w:val="af4"/>
    <w:uiPriority w:val="11"/>
    <w:qFormat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qFormat/>
    <w:rPr>
      <w:i/>
    </w:rPr>
  </w:style>
  <w:style w:type="paragraph" w:styleId="af8">
    <w:name w:val="Intense Quote"/>
    <w:basedOn w:val="a"/>
    <w:next w:val="a"/>
    <w:link w:val="af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9">
    <w:name w:val="Выделенная цитата Знак"/>
    <w:link w:val="af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qFormat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qFormat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qFormat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qFormat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qFormat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qFormat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8A2D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472C4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qFormat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qFormat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qFormat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/>
      </w:rPr>
    </w:tblStylePr>
    <w:tblStylePr w:type="firstCol">
      <w:rPr>
        <w:b/>
        <w:color w:val="ACCCEA" w:themeColor="accent1" w:themeTint="80"/>
      </w:rPr>
    </w:tblStylePr>
    <w:tblStylePr w:type="lastCol">
      <w:rPr>
        <w:b/>
        <w:color w:val="ACCCEA" w:themeColor="accent1" w:themeTint="80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qFormat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qFormat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nil"/>
          <w:left w:val="nil"/>
          <w:bottom w:val="single" w:sz="4" w:space="0" w:color="ACCCEA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single" w:sz="4" w:space="0" w:color="ACCCEA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single" w:sz="4" w:space="0" w:color="ACCCEA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qFormat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qFormat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nil"/>
          <w:left w:val="nil"/>
          <w:bottom w:val="single" w:sz="4" w:space="0" w:color="95AFDD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single" w:sz="4" w:space="0" w:color="95AFDD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single" w:sz="4" w:space="0" w:color="95AFDD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qFormat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qFormat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qFormat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qFormat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qFormat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qFormat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qFormat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qFormat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qFormat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qFormat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qFormat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qFormat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qFormat/>
    <w:tblPr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C" w:themeColor="accent1" w:themeShade="94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C" w:themeColor="accent1" w:themeShade="94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C" w:themeColor="accent1" w:themeShade="94"/>
      </w:rPr>
    </w:tblStylePr>
    <w:tblStylePr w:type="lastCol">
      <w:rPr>
        <w:b/>
        <w:color w:val="245A8C" w:themeColor="accent1" w:themeShade="94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qFormat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qFormat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qFormat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qFormat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EAADB" w:themeColor="accent5" w:themeTint="99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EAADB" w:themeColor="accent5" w:themeTint="99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EAADB" w:themeColor="accent5" w:themeTint="99"/>
      </w:rPr>
    </w:tblStylePr>
    <w:tblStylePr w:type="lastCol">
      <w:rPr>
        <w:b/>
        <w:color w:val="8EAADB" w:themeColor="accent5" w:themeTint="99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qFormat/>
    <w:tblPr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single" w:sz="4" w:space="0" w:color="5B9BD5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qFormat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qFormat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qFormat/>
    <w:tblPr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single" w:sz="4" w:space="0" w:color="8DA9DB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single" w:sz="4" w:space="0" w:color="8DA9DB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single" w:sz="4" w:space="0" w:color="8DA9DB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qFormat/>
    <w:rPr>
      <w:color w:val="40404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qFormat/>
    <w:rPr>
      <w:color w:val="40404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qFormat/>
    <w:rPr>
      <w:color w:val="40404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qFormat/>
    <w:rPr>
      <w:color w:val="40404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qFormat/>
    <w:rPr>
      <w:color w:val="40404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qFormat/>
    <w:rPr>
      <w:color w:val="40404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qFormat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qFormat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c">
    <w:name w:val="Текст сноски Знак"/>
    <w:link w:val="ab"/>
    <w:uiPriority w:val="99"/>
    <w:qFormat/>
    <w:rPr>
      <w:sz w:val="18"/>
    </w:rPr>
  </w:style>
  <w:style w:type="character" w:customStyle="1" w:styleId="a9">
    <w:name w:val="Текст концевой сноски Знак"/>
    <w:link w:val="a8"/>
    <w:uiPriority w:val="99"/>
    <w:qFormat/>
    <w:rPr>
      <w:sz w:val="20"/>
    </w:rPr>
  </w:style>
  <w:style w:type="paragraph" w:customStyle="1" w:styleId="12">
    <w:name w:val="Заголовок оглавления1"/>
    <w:uiPriority w:val="39"/>
    <w:unhideWhenUsed/>
    <w:qFormat/>
    <w:pPr>
      <w:spacing w:after="160" w:line="259" w:lineRule="auto"/>
    </w:pPr>
    <w:rPr>
      <w:sz w:val="22"/>
      <w:szCs w:val="22"/>
      <w:lang w:eastAsia="en-US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bx-messenger-ajax">
    <w:name w:val="bx-messenger-ajax"/>
    <w:basedOn w:val="a0"/>
    <w:qFormat/>
  </w:style>
  <w:style w:type="paragraph" w:customStyle="1" w:styleId="ConsPlusTitle">
    <w:name w:val="ConsPlusTitle"/>
    <w:qFormat/>
    <w:pPr>
      <w:widowControl w:val="0"/>
    </w:pPr>
    <w:rPr>
      <w:rFonts w:ascii="Calibri" w:eastAsiaTheme="minorEastAsia" w:hAnsi="Calibri" w:cs="Calibri"/>
      <w:b/>
      <w:sz w:val="22"/>
      <w:szCs w:val="22"/>
    </w:rPr>
  </w:style>
  <w:style w:type="character" w:customStyle="1" w:styleId="ae">
    <w:name w:val="Верхний колонтитул Знак"/>
    <w:basedOn w:val="a0"/>
    <w:link w:val="ad"/>
    <w:uiPriority w:val="99"/>
    <w:qFormat/>
  </w:style>
  <w:style w:type="character" w:customStyle="1" w:styleId="af3">
    <w:name w:val="Нижний колонтитул Знак"/>
    <w:basedOn w:val="a0"/>
    <w:link w:val="af2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Мурзаева Ольга Олеговна</dc:creator>
  <cp:lastModifiedBy>Дубик Марина Васильевна</cp:lastModifiedBy>
  <cp:revision>5</cp:revision>
  <cp:lastPrinted>2023-05-05T02:58:00Z</cp:lastPrinted>
  <dcterms:created xsi:type="dcterms:W3CDTF">2023-03-09T21:34:00Z</dcterms:created>
  <dcterms:modified xsi:type="dcterms:W3CDTF">2023-09-26T03:37:00Z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1049-12.2.0.13208</vt:lpwstr>
  </property>
  <property fmtid="{D5CDD505-2E9C-101B-9397-08002B2CF9AE}" pid="3" name="ICV">
    <vt:lpwstr>5BEEBF062C5B49C7A8C279F79D64C903_13</vt:lpwstr>
  </property>
</Properties>
</file>